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618B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附件一</w:t>
      </w:r>
    </w:p>
    <w:p w14:paraId="1A9A26E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廉政承诺书</w:t>
      </w:r>
    </w:p>
    <w:p w14:paraId="00504CE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default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甲方：安徽新华学院</w:t>
      </w:r>
    </w:p>
    <w:p w14:paraId="01B6616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乙方：</w:t>
      </w:r>
    </w:p>
    <w:p w14:paraId="4E91D29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为加强甲乙双方合作及廉政建设，规范甲乙双方各项合作行为，预防发生各种谋取不正当利益的违法违纪行为，保护双方合法权益，根据国家有关法律法规和新华集团相关文件规定，特订立本廉政承诺书。</w:t>
      </w:r>
    </w:p>
    <w:p w14:paraId="5631E20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第一条 甲乙双方共同承诺</w:t>
      </w:r>
    </w:p>
    <w:p w14:paraId="520E805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（一）严格遵守国家关于市场准入、项目招标投标、工程建设、施工安装、物资采购和市场活动等有关法律、法规和相关政策，以及廉政建设的各项规定。</w:t>
      </w:r>
    </w:p>
    <w:p w14:paraId="37B947D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（二）严格执行合同文件，自觉按合同办事。</w:t>
      </w:r>
    </w:p>
    <w:p w14:paraId="7948124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（三）坚持公开、公平、公正的原则，不为获取不正当利益而损害对方利益。</w:t>
      </w:r>
    </w:p>
    <w:p w14:paraId="5C3B31D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（四）保守对方的商业秘密，不将其用于交易以外的目的。</w:t>
      </w:r>
    </w:p>
    <w:p w14:paraId="5470F8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第二条 甲方承诺</w:t>
      </w:r>
    </w:p>
    <w:p w14:paraId="5E045C8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在交易的事前、事中、事后遵守以下（包括但不限于）事项： </w:t>
      </w:r>
    </w:p>
    <w:p w14:paraId="6A26E5F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（一）不参加乙方或相关单位的宴请。</w:t>
      </w:r>
    </w:p>
    <w:p w14:paraId="19DF466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（二）不私自收受乙方或相关单位的礼品、礼券或以“低价付款”的物品。</w:t>
      </w:r>
    </w:p>
    <w:p w14:paraId="0CF137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（三）不接受乙方或相关单位的礼金、贿赂、账外回扣等任何形式的私下经济利益。</w:t>
      </w:r>
    </w:p>
    <w:p w14:paraId="2D411E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（四）不私自接受乙方或相关单位提供的娱乐、游玩或任何考察形式的变相旅游等活动。</w:t>
      </w:r>
    </w:p>
    <w:p w14:paraId="086264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五）不利用职务之便谋取非法利益；不向乙方或相关单位介绍配偶、子女及其他亲属参与同交易有关的经济活动；不以任何理由向乙方或相关单位推荐分包单位、供货商，或要求乙方购买交易合同规定以外的材料、设备等。</w:t>
      </w:r>
    </w:p>
    <w:p w14:paraId="0225C69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（六）不得有其他任何在乙方等相关单位获取不当利益的行为。</w:t>
      </w:r>
    </w:p>
    <w:p w14:paraId="05AE3F1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第三条 乙方承诺</w:t>
      </w:r>
    </w:p>
    <w:p w14:paraId="70ABC2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在交易的事前、事中、事后遵守以下（包括但不限于）事项：</w:t>
      </w:r>
    </w:p>
    <w:p w14:paraId="069E240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（一）与甲方保持正常的业务交往，严格执行合同约定。</w:t>
      </w:r>
    </w:p>
    <w:p w14:paraId="65C2201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（二）不向甲方工作人员及任何与甲方相关联的单位或个人提供宴请、旅游、健身、娱乐、变相考察等活动。</w:t>
      </w:r>
    </w:p>
    <w:p w14:paraId="5AD5D7E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（三）不私自向甲方、相关单位及其工作人员赠送礼品、现金、有价卡券等。</w:t>
      </w:r>
    </w:p>
    <w:p w14:paraId="741497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360" w:firstLineChars="15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四）不在账外给予甲方、相关单位及其工作人员回扣；不假借促销费、宣传费、赞助费、科研费、劳务费、咨询费、好处费、感谢费、佣金等名义，或者以报销各种费用等方式，给付甲方、相关单位及其工作人员财物（利益）。</w:t>
      </w:r>
    </w:p>
    <w:p w14:paraId="25F50E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（五）及时向甲方通报甲方人员违反本承诺书规定的行为。</w:t>
      </w:r>
    </w:p>
    <w:p w14:paraId="03DDA74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第四条 违约责任</w:t>
      </w:r>
    </w:p>
    <w:p w14:paraId="0027FA3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（一）甲方工作人员违反本承诺书第一条、第二条的，严格按甲方相关公司制度处理和有关法律法规处理;涉嫌犯罪的，移交司法机关处理；给乙方造成经济损失的，责任人应予以赔偿。</w:t>
      </w:r>
    </w:p>
    <w:p w14:paraId="6FE9F2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（二）乙方工作人员违反本承诺书第一条、第三条的，按乙方相关制度和有关法律法规处理，甲方有权终止合同;涉嫌犯罪的，移交司法机关处理；给甲方造成经济损失的，乙方承担赔偿责任。</w:t>
      </w:r>
    </w:p>
    <w:p w14:paraId="51E973F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第五条 本承诺书作为交易合同或协议的附件，与交易合同或协议具有同等法律效力。经双方签署后立即生效。</w:t>
      </w:r>
    </w:p>
    <w:p w14:paraId="3A50CE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第六条 乙方在履行合同或协议过程中，若发现甲方的相关人员有违反《廉政承诺书》所规定的行为，可以直接向甲方审计督查部投诉（电话：15005518562）。</w:t>
      </w:r>
    </w:p>
    <w:p w14:paraId="7668EAD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第七条 本承诺书一式四份，甲乙双方各持两份。</w:t>
      </w:r>
    </w:p>
    <w:p w14:paraId="20ACFF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p w14:paraId="7B662AB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p w14:paraId="5BB8EA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</w:p>
    <w:p w14:paraId="11177E2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甲方单位：（盖章）                   乙方单位：（盖章）</w:t>
      </w:r>
    </w:p>
    <w:p w14:paraId="5AC981A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法定代表人：                         法定代表人：</w:t>
      </w:r>
    </w:p>
    <w:p w14:paraId="1796C36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法定代表人联系电话：                 法定代表人联系电话：</w:t>
      </w:r>
    </w:p>
    <w:p w14:paraId="5D17F6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委托代理人：                         委托代理人：</w:t>
      </w:r>
    </w:p>
    <w:p w14:paraId="1E6FC1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项目负责人：                         项目负责人：</w:t>
      </w:r>
    </w:p>
    <w:p w14:paraId="15B124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监督电话：15005518562                监督电话：                                </w:t>
      </w:r>
    </w:p>
    <w:p w14:paraId="7908642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>监督邮箱：xhjtdc@xinhuaedu.com       监督邮箱：</w:t>
      </w:r>
    </w:p>
    <w:p w14:paraId="48A36F2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480" w:firstLineChars="200"/>
        <w:jc w:val="both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shd w:val="clear" w:color="auto" w:fill="FFFFFF"/>
          <w:lang w:val="en-US" w:eastAsia="zh-CN" w:bidi="ar"/>
        </w:rPr>
        <w:t xml:space="preserve">          jtdsz@xinhuaedu.com   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 </w:t>
      </w:r>
    </w:p>
    <w:p w14:paraId="39D128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/>
        </w:rPr>
      </w:pPr>
    </w:p>
    <w:p w14:paraId="55B314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  <w:shd w:val="clear" w:color="auto" w:fill="FFFFFF"/>
          <w:lang w:val="en-US"/>
        </w:rPr>
      </w:pPr>
    </w:p>
    <w:p w14:paraId="13E010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B22AE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539AE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D76199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2ED41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712C0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25BE50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02DA6B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04625E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1E5AB48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left"/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附件二</w:t>
      </w:r>
    </w:p>
    <w:p w14:paraId="2F6BBA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  <w:t>保证承诺书</w:t>
      </w:r>
    </w:p>
    <w:p w14:paraId="62F458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440" w:lineRule="exact"/>
        <w:ind w:left="0" w:right="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"/>
        </w:rPr>
        <w:t>致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lang w:val="en-US" w:eastAsia="zh-CN" w:bidi="ar"/>
        </w:rPr>
        <w:t>：</w:t>
      </w:r>
    </w:p>
    <w:p w14:paraId="0AF4B5E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 xml:space="preserve"> 保证人***，身份证号码***，系***公司法定代表人/项目负责人。现保证人针对***公司与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就***项目合作并签订《***合同》（下称主合同）事宜，为确保***公司全面履行其在主合同中的各项责任与义务，保证人自愿为其向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提供不可撤销的连带保证责任担保，并向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郑重承诺：</w:t>
      </w:r>
    </w:p>
    <w:p w14:paraId="7456FFA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>保证范围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。保证人的保证范围，为主合同项下***公司对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应承担的全部责任、义务、债务等，以及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为实现债权而支付的各项费用（包括但不限于诉讼费/仲裁费、财产保全费、财产保全服务费、律师费、差旅费、公证费、执行费、公告费等费用）。</w:t>
      </w:r>
    </w:p>
    <w:p w14:paraId="75D125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 xml:space="preserve"> 二、保证期间。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保证人的保证期间，为***公司在主合同项下债务履行期限届满后三年；若主合同项下的债务约定分期履行的，则保证期间至***公司在主合同项下最后一期债务履行期限届满后三年。</w:t>
      </w:r>
    </w:p>
    <w:p w14:paraId="56C68E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>三、保证方式。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保证人承担独立的、不可撤销的、连带责任保证担保。任何情况下，不因主合同无效、撤销等等而影响本承诺书的效力。</w:t>
      </w:r>
    </w:p>
    <w:p w14:paraId="485477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四、保证人承诺，无论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是否对被担保债权享有其他担保（包括但不限于保证、抵押、质押等），保证人在本承诺书项下的保证责任均不因此减免。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u w:val="single"/>
          <w:lang w:val="en-US" w:eastAsia="zh-CN" w:bidi="ar"/>
        </w:rPr>
        <w:t>安徽新华学院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>均可直接要求保证人依照本承诺书约定承担保证责任，保证人不提出任何异议。</w:t>
      </w:r>
    </w:p>
    <w:p w14:paraId="3B7E05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 xml:space="preserve">五、保证人是具备完全民事行为能力的自然人，保证人为签订本承诺书提供的所有文件、信息及签字均真实、完整、有效 。 </w:t>
      </w:r>
    </w:p>
    <w:p w14:paraId="59172C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>六、保证人已充分理解并全面认可主合同及本承诺书的所有条款内容，并承诺任何情况下不得对其提出任何异议。</w:t>
      </w:r>
    </w:p>
    <w:p w14:paraId="2334CD96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360" w:right="0" w:firstLine="0" w:firstLineChars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 xml:space="preserve">                                  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保证人：</w:t>
      </w:r>
    </w:p>
    <w:p w14:paraId="145168A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beforeLines="100" w:beforeAutospacing="0" w:after="240" w:afterLines="100" w:afterAutospacing="0" w:line="360" w:lineRule="exact"/>
        <w:ind w:left="0" w:right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lang w:val="en-US" w:eastAsia="zh-CN" w:bidi="ar"/>
        </w:rPr>
        <w:t xml:space="preserve">                                   日期：</w:t>
      </w:r>
    </w:p>
    <w:p w14:paraId="62DFE7A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40" w:lineRule="exact"/>
        <w:rPr>
          <w:rFonts w:hint="eastAsia" w:ascii="仿宋" w:hAnsi="仿宋" w:eastAsia="仿宋" w:cs="仿宋"/>
          <w:color w:val="auto"/>
          <w:lang w:val="en-US" w:eastAsia="zh-CN"/>
        </w:rPr>
      </w:pPr>
    </w:p>
    <w:p w14:paraId="3D0190CD">
      <w:pPr>
        <w:pStyle w:val="8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 w14:paraId="3FC17FF0">
      <w:pPr>
        <w:pStyle w:val="8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 w14:paraId="0510D66F">
      <w:pPr>
        <w:pStyle w:val="8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</w:p>
    <w:p w14:paraId="30BF9D5C">
      <w:pPr>
        <w:pStyle w:val="8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附件三</w:t>
      </w:r>
    </w:p>
    <w:p w14:paraId="6B4FFA7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default" w:ascii="仿宋" w:hAnsi="仿宋" w:eastAsia="仿宋" w:cs="仿宋"/>
          <w:b/>
          <w:bCs w:val="0"/>
          <w:snapToGrid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公共物理实训中心设备采购项目需求表（报价表）</w:t>
      </w:r>
    </w:p>
    <w:tbl>
      <w:tblPr>
        <w:tblStyle w:val="9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611"/>
        <w:gridCol w:w="691"/>
        <w:gridCol w:w="1627"/>
        <w:gridCol w:w="605"/>
        <w:gridCol w:w="650"/>
        <w:gridCol w:w="892"/>
        <w:gridCol w:w="1052"/>
        <w:gridCol w:w="1248"/>
      </w:tblGrid>
      <w:tr w14:paraId="73C3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F14D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A1F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仪器设备名称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FE98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品牌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85D8A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型号规格</w:t>
            </w: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4F04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F507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7BBC7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质保期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E269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单价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2522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总价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color w:val="auto"/>
                <w:sz w:val="21"/>
                <w:szCs w:val="21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eastAsia="zh-CN"/>
              </w:rPr>
              <w:t>）</w:t>
            </w:r>
          </w:p>
        </w:tc>
      </w:tr>
      <w:tr w14:paraId="2274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F64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019645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密立根油滴仪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DE21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DCCF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8ED62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371E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9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EF363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D96A9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90DC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1C09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53A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8E2F1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电阻箱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9EA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BAA6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1FD8D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BD858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45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B1798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A435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2C02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6421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1401" w:hRule="exac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7809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352808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PP柜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834B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7E0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A243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套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E1B65A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7B11E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D1C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84FF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 w14:paraId="1ACF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77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234B5">
            <w:pPr>
              <w:spacing w:after="100" w:afterAutospacing="1" w:line="360" w:lineRule="exact"/>
              <w:rPr>
                <w:rFonts w:hint="default" w:ascii="仿宋" w:hAnsi="仿宋" w:eastAsia="仿宋" w:cs="仿宋"/>
                <w:b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  <w:t>合计</w:t>
            </w:r>
            <w:r>
              <w:rPr>
                <w:rFonts w:hint="eastAsia" w:ascii="仿宋" w:hAnsi="仿宋" w:eastAsia="仿宋" w:cs="仿宋"/>
                <w:b w:val="0"/>
                <w:color w:val="auto"/>
                <w:szCs w:val="21"/>
                <w:lang w:val="en-US" w:eastAsia="zh-CN"/>
              </w:rPr>
              <w:t>总价：      元整（¥：    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2AA95">
            <w:pPr>
              <w:widowControl/>
              <w:spacing w:before="100" w:beforeAutospacing="1" w:after="100" w:afterAutospacing="1"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auto"/>
                <w:szCs w:val="21"/>
              </w:rPr>
            </w:pPr>
          </w:p>
        </w:tc>
      </w:tr>
    </w:tbl>
    <w:p w14:paraId="42A0CC58">
      <w:pPr>
        <w:pStyle w:val="8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 </w:t>
      </w:r>
    </w:p>
    <w:p w14:paraId="26C85A46">
      <w:pPr>
        <w:pStyle w:val="8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 w14:paraId="479E93A6">
      <w:pPr>
        <w:pStyle w:val="8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 w14:paraId="1C7A56D6">
      <w:pPr>
        <w:pStyle w:val="7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 w14:paraId="2EBC6E22">
      <w:pP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 w14:paraId="56C8F130">
      <w:pP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 w14:paraId="50C0BBC7">
      <w:pP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 w14:paraId="2BCE9287">
      <w:pP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</w:p>
    <w:p w14:paraId="342E0596">
      <w:pPr>
        <w:pStyle w:val="8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 w14:paraId="39453B9C">
      <w:pPr>
        <w:pStyle w:val="8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 w14:paraId="0D8F032B">
      <w:pPr>
        <w:pStyle w:val="8"/>
        <w:ind w:left="0" w:leftChars="0" w:firstLine="0" w:firstLineChars="0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</w:pPr>
    </w:p>
    <w:p w14:paraId="4B4F4152">
      <w:pPr>
        <w:pStyle w:val="8"/>
        <w:ind w:left="0" w:leftChars="0" w:firstLine="0" w:firstLineChars="0"/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  <w:lang w:val="en-US" w:eastAsia="zh-CN"/>
        </w:rPr>
        <w:t>附件四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cs="宋体"/>
          <w:color w:val="auto"/>
          <w:sz w:val="28"/>
          <w:szCs w:val="28"/>
          <w:shd w:val="clear" w:color="auto" w:fill="FFFFFF"/>
        </w:rPr>
        <w:t>    </w:t>
      </w:r>
    </w:p>
    <w:p w14:paraId="4896342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40" w:lineRule="exact"/>
        <w:ind w:left="0" w:right="0"/>
        <w:jc w:val="center"/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 w:ascii="仿宋" w:hAnsi="仿宋" w:eastAsia="仿宋" w:cs="仿宋"/>
          <w:b/>
          <w:bCs w:val="0"/>
          <w:snapToGrid w:val="0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公共物理实训中心设备参数对比表</w:t>
      </w:r>
    </w:p>
    <w:tbl>
      <w:tblPr>
        <w:tblStyle w:val="9"/>
        <w:tblW w:w="49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718"/>
        <w:gridCol w:w="4550"/>
        <w:gridCol w:w="991"/>
        <w:gridCol w:w="949"/>
        <w:gridCol w:w="1016"/>
        <w:gridCol w:w="1011"/>
      </w:tblGrid>
      <w:tr w14:paraId="4E544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C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仪器设备名称</w:t>
            </w:r>
          </w:p>
        </w:tc>
        <w:tc>
          <w:tcPr>
            <w:tcW w:w="28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B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询价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需求</w:t>
            </w:r>
          </w:p>
        </w:tc>
        <w:tc>
          <w:tcPr>
            <w:tcW w:w="15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758D7">
            <w:pPr>
              <w:keepNext w:val="0"/>
              <w:keepLines w:val="0"/>
              <w:widowControl/>
              <w:suppressLineNumbers w:val="0"/>
              <w:ind w:firstLine="1476" w:firstLineChars="7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投标参数、型号</w:t>
            </w:r>
          </w:p>
        </w:tc>
      </w:tr>
      <w:tr w14:paraId="733E4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7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34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5A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E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B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5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投标品牌、型号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07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参数偏离值</w:t>
            </w:r>
          </w:p>
        </w:tc>
      </w:tr>
      <w:tr w14:paraId="4D0E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0792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1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B3211C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密立根油滴仪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7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主要技术参数: </w:t>
            </w:r>
          </w:p>
          <w:p w14:paraId="22BDE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1、采用CCD成像系统观察油滴； </w:t>
            </w:r>
          </w:p>
          <w:p w14:paraId="0BA2D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2、监视器分度值采用电子分划板； </w:t>
            </w:r>
          </w:p>
          <w:p w14:paraId="20FDA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3、监视器上能显示实验电压、计时时间并能自动进行数据处理。 </w:t>
            </w:r>
          </w:p>
          <w:p w14:paraId="681AF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4、平衡电压：0～430V可调，提升电压200～300V可调，电压准确度：±1V；  </w:t>
            </w:r>
          </w:p>
          <w:p w14:paraId="70BDF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5、CCD显微镜系统放大倍数：约70倍，CCD分辨率480线，电子格线分度值：0.2mm/格，最低照度F1.2/0.05LUX；  </w:t>
            </w:r>
          </w:p>
          <w:p w14:paraId="16E47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6、监视器：12寸液晶显示器，分辨率1280×800；  </w:t>
            </w:r>
          </w:p>
          <w:p w14:paraId="5ADE5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7、计时范围：99.99s、计时误差：±0.01s； </w:t>
            </w:r>
          </w:p>
          <w:p w14:paraId="131BA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8、平行极板间距离（5.00 ± 0.01）mm； </w:t>
            </w:r>
          </w:p>
          <w:p w14:paraId="456F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9、测试按键均采用数字电子开关，提高使用寿命,8健独立操控，且计时开始键与0V键不联动工作，防止油滴启动瞬间的非匀速性带来的实验误差； </w:t>
            </w:r>
          </w:p>
          <w:p w14:paraId="32FA8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10、机身配置二维码识别兼备课件下载、信息采集、数据下载、售后服务线上报修等功能，投标时提供界面截图加盖公章； </w:t>
            </w:r>
          </w:p>
          <w:p w14:paraId="191A3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11、实验相对误差 ≤3%； </w:t>
            </w:r>
          </w:p>
          <w:p w14:paraId="63E2E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12、能在监视器上自动进行实验数据处理和实验结果显示，仪器内置密立根油滴实验仪软件，未避免版权纠纷，投标时提供相应的计算机 软件著作权 登记证书扫描件加盖公章；或提供权威软件可在线查询结果截图，如：天眼查企业查询软件等。； </w:t>
            </w:r>
          </w:p>
          <w:p w14:paraId="43C91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13、提供配套实验说明指导书，视频操作教程。 </w:t>
            </w:r>
          </w:p>
          <w:p w14:paraId="63929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★14、提供每年不少于2次的进校免费维护。 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8204A9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杭州大华、杭州杭光等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5399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6D2D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62A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6348F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EA69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E5BFD8">
            <w:pPr>
              <w:spacing w:before="100" w:beforeAutospacing="1" w:after="100" w:afterAutospacing="1" w:line="3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电阻箱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D33E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0-99999.9Ω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04974D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金坛儒林/上海正阳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1C17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6864B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6312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CB5D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ED5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3</w:t>
            </w:r>
          </w:p>
        </w:tc>
        <w:tc>
          <w:tcPr>
            <w:tcW w:w="3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82173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PP柜</w:t>
            </w:r>
          </w:p>
        </w:tc>
        <w:tc>
          <w:tcPr>
            <w:tcW w:w="2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094A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22加仑</w:t>
            </w:r>
          </w:p>
        </w:tc>
        <w:tc>
          <w:tcPr>
            <w:tcW w:w="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61E7370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  <w:t>欧力朗/信诺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B42B1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F2494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14DC6">
            <w:pPr>
              <w:spacing w:before="100" w:beforeAutospacing="1" w:after="100" w:afterAutospacing="1" w:line="36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 w14:paraId="0D145855">
      <w:pPr>
        <w:pStyle w:val="8"/>
        <w:ind w:left="0" w:leftChars="0" w:firstLine="0" w:firstLineChars="0"/>
        <w:rPr>
          <w:lang w:val="en-US" w:eastAsia="zh-CN"/>
        </w:rPr>
      </w:pPr>
    </w:p>
    <w:p w14:paraId="00B2F147"/>
    <w:sectPr>
      <w:headerReference r:id="rId3" w:type="default"/>
      <w:footerReference r:id="rId4" w:type="default"/>
      <w:footerReference r:id="rId5" w:type="even"/>
      <w:pgSz w:w="11906" w:h="16838"/>
      <w:pgMar w:top="890" w:right="1174" w:bottom="890" w:left="117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FangSong_GB2312">
    <w:altName w:val="@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9A9A97">
    <w:pPr>
      <w:pStyle w:val="5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34C7B">
    <w:pPr>
      <w:pStyle w:val="5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 w14:paraId="122A70BD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969EC">
    <w:pPr>
      <w:pStyle w:val="6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95679"/>
    <w:multiLevelType w:val="multilevel"/>
    <w:tmpl w:val="C7895679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C140F"/>
    <w:rsid w:val="5C5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Indent"/>
    <w:basedOn w:val="1"/>
    <w:next w:val="4"/>
    <w:unhideWhenUsed/>
    <w:qFormat/>
    <w:uiPriority w:val="0"/>
    <w:pPr>
      <w:ind w:firstLine="645"/>
    </w:pPr>
    <w:rPr>
      <w:rFonts w:ascii="@FangSong_GB2312" w:hAnsi="@FangSong_GB2312" w:eastAsia="@FangSong_GB2312"/>
      <w:kern w:val="0"/>
      <w:sz w:val="32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2"/>
    <w:next w:val="1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 w:eastAsia="楷体_GB2312"/>
      <w:sz w:val="24"/>
    </w:rPr>
  </w:style>
  <w:style w:type="paragraph" w:styleId="8">
    <w:name w:val="Body Text First Indent 2"/>
    <w:basedOn w:val="3"/>
    <w:qFormat/>
    <w:uiPriority w:val="0"/>
    <w:pPr>
      <w:spacing w:line="360" w:lineRule="auto"/>
      <w:ind w:firstLine="200" w:firstLineChars="200"/>
    </w:pPr>
    <w:rPr>
      <w:rFonts w:ascii="宋体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2025-03-28T09:17:00Z</dcterms:created>
  <dc:creator>千里草1403852088</dc:creator>
  <cp:lastModifiedBy>千里草1403852088</cp:lastModifiedBy>
  <dcterms:modified xsi:type="dcterms:W3CDTF">2025-03-28T09:18:09Z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E20DC694166B49F2A7E16246230EA5BC_11</vt:lpwstr>
  </property>
  <property fmtid="{D5CDD505-2E9C-101B-9397-08002B2CF9AE}" pid="4" name="KSOTemplateDocerSaveRecord">
    <vt:lpwstr>eyJoZGlkIjoiNWRkZWEwYjc3ZjU0NTk3MTZjMGQwMGQwN2RkMDczMzMiLCJ1c2VySWQiOiIxNzc4MzMyMyJ9</vt:lpwstr>
  </property>
</Properties>
</file>